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5ADC1" w14:textId="77777777" w:rsidR="006630DD" w:rsidRDefault="006630DD" w:rsidP="005F6A1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558F4FC" w14:textId="77777777" w:rsidR="006630DD" w:rsidRDefault="006630DD" w:rsidP="005F6A1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EFB830A" w14:textId="4147AA31" w:rsidR="00896F77" w:rsidRPr="005B740B" w:rsidRDefault="008E1FBE" w:rsidP="005F6A1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B740B">
        <w:rPr>
          <w:rFonts w:asciiTheme="majorHAnsi" w:hAnsiTheme="majorHAnsi" w:cstheme="majorHAnsi"/>
          <w:b/>
          <w:bCs/>
          <w:sz w:val="24"/>
          <w:szCs w:val="24"/>
        </w:rPr>
        <w:t xml:space="preserve">Grassroots Arts Program </w:t>
      </w:r>
      <w:r w:rsidR="005B740B" w:rsidRPr="005B740B">
        <w:rPr>
          <w:rFonts w:asciiTheme="majorHAnsi" w:hAnsiTheme="majorHAnsi" w:cstheme="majorHAnsi"/>
          <w:b/>
          <w:bCs/>
          <w:sz w:val="24"/>
          <w:szCs w:val="24"/>
        </w:rPr>
        <w:t>Grants</w:t>
      </w:r>
    </w:p>
    <w:p w14:paraId="02585B18" w14:textId="6E452673" w:rsidR="008E1FBE" w:rsidRPr="00FA429F" w:rsidRDefault="001733FA" w:rsidP="001466D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FA429F">
        <w:rPr>
          <w:rFonts w:asciiTheme="majorHAnsi" w:hAnsiTheme="majorHAnsi" w:cstheme="majorHAnsi"/>
        </w:rPr>
        <w:t>FY 202</w:t>
      </w:r>
      <w:r w:rsidR="003D20B4" w:rsidRPr="00FA429F">
        <w:rPr>
          <w:rFonts w:asciiTheme="majorHAnsi" w:hAnsiTheme="majorHAnsi" w:cstheme="majorHAnsi"/>
        </w:rPr>
        <w:t>4</w:t>
      </w:r>
      <w:r w:rsidRPr="00FA429F">
        <w:rPr>
          <w:rFonts w:asciiTheme="majorHAnsi" w:hAnsiTheme="majorHAnsi" w:cstheme="majorHAnsi"/>
        </w:rPr>
        <w:t>-202</w:t>
      </w:r>
      <w:r w:rsidR="003D20B4" w:rsidRPr="00FA429F">
        <w:rPr>
          <w:rFonts w:asciiTheme="majorHAnsi" w:hAnsiTheme="majorHAnsi" w:cstheme="majorHAnsi"/>
        </w:rPr>
        <w:t>5</w:t>
      </w:r>
    </w:p>
    <w:p w14:paraId="27F69404" w14:textId="77777777" w:rsidR="00FA429F" w:rsidRDefault="00FA429F" w:rsidP="001466D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1BDBA07" w14:textId="1BF57E7F" w:rsidR="00FA429F" w:rsidRPr="00FA429F" w:rsidRDefault="00FA429F" w:rsidP="001466D8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A429F">
        <w:rPr>
          <w:rFonts w:asciiTheme="majorHAnsi" w:hAnsiTheme="majorHAnsi" w:cstheme="majorHAnsi"/>
          <w:b/>
          <w:bCs/>
        </w:rPr>
        <w:t>Deadline: June 14, 2024</w:t>
      </w:r>
    </w:p>
    <w:p w14:paraId="15132E95" w14:textId="77777777" w:rsidR="001466D8" w:rsidRPr="00424E5D" w:rsidRDefault="001466D8" w:rsidP="008E1FBE">
      <w:pPr>
        <w:spacing w:after="0" w:line="240" w:lineRule="auto"/>
        <w:rPr>
          <w:rFonts w:asciiTheme="majorHAnsi" w:hAnsiTheme="majorHAnsi" w:cstheme="majorHAnsi"/>
        </w:rPr>
      </w:pPr>
    </w:p>
    <w:p w14:paraId="76002CB9" w14:textId="77777777" w:rsidR="00FA429F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Since 1977, the NC Arts Council’s Grassroots Arts Program has provided </w:t>
      </w:r>
      <w:r w:rsidR="003D20B4">
        <w:rPr>
          <w:rFonts w:asciiTheme="majorHAnsi" w:hAnsiTheme="majorHAnsi" w:cstheme="majorHAnsi"/>
          <w:sz w:val="20"/>
          <w:szCs w:val="20"/>
        </w:rPr>
        <w:t xml:space="preserve">North Carolina citizens access to quality arts experiences in all 100 counties. </w:t>
      </w:r>
    </w:p>
    <w:p w14:paraId="1D24E41A" w14:textId="77777777" w:rsidR="00FA429F" w:rsidRDefault="00FA429F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8BA69DF" w14:textId="502B4C2B" w:rsidR="008E1FBE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The Arts Council of Wilmington/NHC</w:t>
      </w:r>
      <w:r w:rsidR="00FA429F">
        <w:rPr>
          <w:rFonts w:asciiTheme="majorHAnsi" w:hAnsiTheme="majorHAnsi" w:cstheme="majorHAnsi"/>
          <w:sz w:val="20"/>
          <w:szCs w:val="20"/>
        </w:rPr>
        <w:t xml:space="preserve">, </w:t>
      </w:r>
      <w:r w:rsidR="000C1C20">
        <w:rPr>
          <w:rFonts w:asciiTheme="majorHAnsi" w:hAnsiTheme="majorHAnsi" w:cstheme="majorHAnsi"/>
          <w:sz w:val="20"/>
          <w:szCs w:val="20"/>
        </w:rPr>
        <w:t xml:space="preserve">the </w:t>
      </w:r>
      <w:r w:rsidR="003D20B4">
        <w:rPr>
          <w:rFonts w:asciiTheme="majorHAnsi" w:hAnsiTheme="majorHAnsi" w:cstheme="majorHAnsi"/>
          <w:sz w:val="20"/>
          <w:szCs w:val="20"/>
        </w:rPr>
        <w:t xml:space="preserve">state agency’s </w:t>
      </w:r>
      <w:r w:rsidRPr="00033BB5">
        <w:rPr>
          <w:rFonts w:asciiTheme="majorHAnsi" w:hAnsiTheme="majorHAnsi" w:cstheme="majorHAnsi"/>
          <w:sz w:val="20"/>
          <w:szCs w:val="20"/>
        </w:rPr>
        <w:t>Designated County Partner</w:t>
      </w:r>
      <w:r w:rsidR="00FA429F">
        <w:rPr>
          <w:rFonts w:asciiTheme="majorHAnsi" w:hAnsiTheme="majorHAnsi" w:cstheme="majorHAnsi"/>
          <w:sz w:val="20"/>
          <w:szCs w:val="20"/>
        </w:rPr>
        <w:t xml:space="preserve">, will accept applications from May 1-June 14, 2024, for FY 2024-2025 and </w:t>
      </w:r>
      <w:r w:rsidR="006552E6">
        <w:rPr>
          <w:rFonts w:asciiTheme="majorHAnsi" w:hAnsiTheme="majorHAnsi" w:cstheme="majorHAnsi"/>
          <w:sz w:val="20"/>
          <w:szCs w:val="20"/>
        </w:rPr>
        <w:t>will subgrant $</w:t>
      </w:r>
      <w:r w:rsidR="003D20B4">
        <w:rPr>
          <w:rFonts w:asciiTheme="majorHAnsi" w:hAnsiTheme="majorHAnsi" w:cstheme="majorHAnsi"/>
          <w:sz w:val="20"/>
          <w:szCs w:val="20"/>
        </w:rPr>
        <w:t>75</w:t>
      </w:r>
      <w:r w:rsidR="006552E6">
        <w:rPr>
          <w:rFonts w:asciiTheme="majorHAnsi" w:hAnsiTheme="majorHAnsi" w:cstheme="majorHAnsi"/>
          <w:sz w:val="20"/>
          <w:szCs w:val="20"/>
        </w:rPr>
        <w:t xml:space="preserve">,000 </w:t>
      </w:r>
      <w:r w:rsidR="005B740B">
        <w:rPr>
          <w:rFonts w:asciiTheme="majorHAnsi" w:hAnsiTheme="majorHAnsi" w:cstheme="majorHAnsi"/>
          <w:sz w:val="20"/>
          <w:szCs w:val="20"/>
        </w:rPr>
        <w:t>to New Hanover County arts organizations</w:t>
      </w:r>
      <w:r w:rsidR="00FA429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A5D72DB" w14:textId="77777777" w:rsidR="005B740B" w:rsidRDefault="005B740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ADDFDF0" w14:textId="0734A380" w:rsidR="005B740B" w:rsidRPr="005B740B" w:rsidRDefault="005B740B" w:rsidP="005B740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B740B">
        <w:rPr>
          <w:rFonts w:asciiTheme="majorHAnsi" w:hAnsiTheme="majorHAnsi" w:cstheme="majorHAnsi"/>
          <w:b/>
          <w:bCs/>
          <w:sz w:val="20"/>
          <w:szCs w:val="20"/>
        </w:rPr>
        <w:t>Register for a grant workshop:</w:t>
      </w:r>
    </w:p>
    <w:p w14:paraId="79B1307B" w14:textId="77777777" w:rsidR="003D20B4" w:rsidRDefault="003D20B4" w:rsidP="005B740B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0957684" w14:textId="29EB5010" w:rsidR="005B740B" w:rsidRDefault="005B740B" w:rsidP="005B740B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hyperlink r:id="rId8" w:history="1">
        <w:r w:rsidRPr="005B740B">
          <w:rPr>
            <w:rStyle w:val="Hyperlink"/>
            <w:rFonts w:asciiTheme="majorHAnsi" w:hAnsiTheme="majorHAnsi" w:cstheme="majorHAnsi"/>
            <w:sz w:val="20"/>
            <w:szCs w:val="20"/>
          </w:rPr>
          <w:t>Wednesday, May 8, 2024 – 10:00 a.m. via Zoom</w:t>
        </w:r>
      </w:hyperlink>
    </w:p>
    <w:p w14:paraId="48A56871" w14:textId="17F6E228" w:rsidR="003D20B4" w:rsidRPr="005B740B" w:rsidRDefault="005B740B" w:rsidP="005B740B">
      <w:pPr>
        <w:spacing w:after="0" w:line="240" w:lineRule="auto"/>
        <w:jc w:val="center"/>
        <w:rPr>
          <w:rStyle w:val="Hyperlink"/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begin"/>
      </w:r>
      <w:r>
        <w:rPr>
          <w:rFonts w:asciiTheme="majorHAnsi" w:hAnsiTheme="majorHAnsi" w:cstheme="majorHAnsi"/>
          <w:sz w:val="20"/>
          <w:szCs w:val="20"/>
        </w:rPr>
        <w:instrText>HYPERLINK "https://us06web.zoom.us/meeting/register/tZ0scOGqqjsuGd2I6VvKH-4MvozesLztfYGj"</w:instrText>
      </w:r>
      <w:r>
        <w:rPr>
          <w:rFonts w:asciiTheme="majorHAnsi" w:hAnsiTheme="majorHAnsi" w:cstheme="majorHAnsi"/>
          <w:sz w:val="20"/>
          <w:szCs w:val="20"/>
        </w:rPr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 w:rsidRPr="005B740B">
        <w:rPr>
          <w:rStyle w:val="Hyperlink"/>
          <w:rFonts w:asciiTheme="majorHAnsi" w:hAnsiTheme="majorHAnsi" w:cstheme="majorHAnsi"/>
          <w:sz w:val="20"/>
          <w:szCs w:val="20"/>
        </w:rPr>
        <w:t>Monday, May 13, 2024 – 6:00 p.m. via Zoom</w:t>
      </w:r>
    </w:p>
    <w:p w14:paraId="21AC2C54" w14:textId="7A6FBCC5" w:rsidR="002539CF" w:rsidRDefault="005B740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fldChar w:fldCharType="end"/>
      </w:r>
    </w:p>
    <w:p w14:paraId="631FA1BB" w14:textId="78EE5DCB" w:rsidR="008E1FBE" w:rsidRPr="00033BB5" w:rsidRDefault="008E1FBE" w:rsidP="0033784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Eligibility</w:t>
      </w:r>
    </w:p>
    <w:p w14:paraId="0E99A620" w14:textId="77777777" w:rsidR="00337844" w:rsidRPr="00033BB5" w:rsidRDefault="00337844" w:rsidP="0033784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A3122AC" w14:textId="3F924212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All organizations must have been in operation for at least one year. While nonprofit</w:t>
      </w:r>
      <w:r w:rsidR="003B347D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501(c)(3) status is preferred, organizations that are nonprofit in nature may also apply.</w:t>
      </w:r>
    </w:p>
    <w:p w14:paraId="2C520880" w14:textId="6683CD84" w:rsidR="008E1FBE" w:rsidRDefault="008E1FBE" w:rsidP="003B347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Hlk165431007"/>
      <w:r w:rsidRPr="00033BB5">
        <w:rPr>
          <w:rFonts w:asciiTheme="majorHAnsi" w:hAnsiTheme="majorHAnsi" w:cstheme="majorHAnsi"/>
          <w:sz w:val="20"/>
          <w:szCs w:val="20"/>
        </w:rPr>
        <w:t>•</w:t>
      </w:r>
      <w:bookmarkEnd w:id="0"/>
      <w:r w:rsidRPr="00033BB5">
        <w:rPr>
          <w:rFonts w:asciiTheme="majorHAnsi" w:hAnsiTheme="majorHAnsi" w:cstheme="majorHAnsi"/>
          <w:sz w:val="20"/>
          <w:szCs w:val="20"/>
        </w:rPr>
        <w:t xml:space="preserve"> All organizations must reside and carry out projects within </w:t>
      </w:r>
      <w:r w:rsidR="003B347D">
        <w:rPr>
          <w:rFonts w:asciiTheme="majorHAnsi" w:hAnsiTheme="majorHAnsi" w:cstheme="majorHAnsi"/>
          <w:sz w:val="20"/>
          <w:szCs w:val="20"/>
        </w:rPr>
        <w:t>New Hanover County.</w:t>
      </w:r>
    </w:p>
    <w:p w14:paraId="6CA4EA80" w14:textId="47DBAEB6" w:rsidR="005B740B" w:rsidRPr="00033BB5" w:rsidRDefault="005B740B" w:rsidP="003B347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5B740B">
        <w:rPr>
          <w:rFonts w:asciiTheme="majorHAnsi" w:hAnsiTheme="majorHAnsi" w:cstheme="majorHAnsi"/>
          <w:sz w:val="20"/>
          <w:szCs w:val="20"/>
        </w:rPr>
        <w:t>•</w:t>
      </w:r>
      <w:r>
        <w:rPr>
          <w:rFonts w:asciiTheme="majorHAnsi" w:hAnsiTheme="majorHAnsi" w:cstheme="majorHAnsi"/>
          <w:sz w:val="20"/>
          <w:szCs w:val="20"/>
        </w:rPr>
        <w:t xml:space="preserve"> Grants must be matched dollar-for-dollar.</w:t>
      </w:r>
    </w:p>
    <w:p w14:paraId="1036A00C" w14:textId="1AA69892" w:rsidR="005B740B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Individuals are not eligible to apply for Grassroots Arts funds.</w:t>
      </w:r>
    </w:p>
    <w:p w14:paraId="2E2CE613" w14:textId="52D941E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All projects must take place between July 1, 202</w:t>
      </w:r>
      <w:r w:rsidR="003D20B4">
        <w:rPr>
          <w:rFonts w:asciiTheme="majorHAnsi" w:hAnsiTheme="majorHAnsi" w:cstheme="majorHAnsi"/>
          <w:sz w:val="20"/>
          <w:szCs w:val="20"/>
        </w:rPr>
        <w:t>4</w:t>
      </w:r>
      <w:r w:rsidR="00377495">
        <w:rPr>
          <w:rFonts w:asciiTheme="majorHAnsi" w:hAnsiTheme="majorHAnsi" w:cstheme="majorHAnsi"/>
          <w:sz w:val="20"/>
          <w:szCs w:val="20"/>
        </w:rPr>
        <w:t>,</w:t>
      </w:r>
      <w:r w:rsidRPr="00033BB5">
        <w:rPr>
          <w:rFonts w:asciiTheme="majorHAnsi" w:hAnsiTheme="majorHAnsi" w:cstheme="majorHAnsi"/>
          <w:sz w:val="20"/>
          <w:szCs w:val="20"/>
        </w:rPr>
        <w:t xml:space="preserve"> and June 15, 202</w:t>
      </w:r>
      <w:r w:rsidR="003D20B4">
        <w:rPr>
          <w:rFonts w:asciiTheme="majorHAnsi" w:hAnsiTheme="majorHAnsi" w:cstheme="majorHAnsi"/>
          <w:sz w:val="20"/>
          <w:szCs w:val="20"/>
        </w:rPr>
        <w:t>5</w:t>
      </w:r>
      <w:r w:rsidRPr="00033BB5">
        <w:rPr>
          <w:rFonts w:asciiTheme="majorHAnsi" w:hAnsiTheme="majorHAnsi" w:cstheme="majorHAnsi"/>
          <w:sz w:val="20"/>
          <w:szCs w:val="20"/>
        </w:rPr>
        <w:t>.</w:t>
      </w:r>
    </w:p>
    <w:p w14:paraId="0B833581" w14:textId="17F0D8C9" w:rsidR="00BC5F77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• Grant </w:t>
      </w:r>
      <w:r w:rsidR="00486FF7">
        <w:rPr>
          <w:rFonts w:asciiTheme="majorHAnsi" w:hAnsiTheme="majorHAnsi" w:cstheme="majorHAnsi"/>
          <w:sz w:val="20"/>
          <w:szCs w:val="20"/>
        </w:rPr>
        <w:t xml:space="preserve">awards generally </w:t>
      </w:r>
      <w:r w:rsidRPr="00033BB5">
        <w:rPr>
          <w:rFonts w:asciiTheme="majorHAnsi" w:hAnsiTheme="majorHAnsi" w:cstheme="majorHAnsi"/>
          <w:sz w:val="20"/>
          <w:szCs w:val="20"/>
        </w:rPr>
        <w:t>range from $500</w:t>
      </w:r>
      <w:r w:rsidR="003B347D">
        <w:rPr>
          <w:rFonts w:asciiTheme="majorHAnsi" w:hAnsiTheme="majorHAnsi" w:cstheme="majorHAnsi"/>
          <w:sz w:val="20"/>
          <w:szCs w:val="20"/>
        </w:rPr>
        <w:t>-$5000</w:t>
      </w:r>
      <w:r w:rsidR="005B740B">
        <w:rPr>
          <w:rFonts w:asciiTheme="majorHAnsi" w:hAnsiTheme="majorHAnsi" w:cstheme="majorHAnsi"/>
          <w:sz w:val="20"/>
          <w:szCs w:val="20"/>
        </w:rPr>
        <w:t>.</w:t>
      </w:r>
    </w:p>
    <w:p w14:paraId="74598259" w14:textId="77777777" w:rsidR="005B740B" w:rsidRPr="005B740B" w:rsidRDefault="005B740B" w:rsidP="005B740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3A85E18" w14:textId="08BEB248" w:rsidR="008E1FBE" w:rsidRPr="00033BB5" w:rsidRDefault="008E1FBE" w:rsidP="00CC20B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What the Grassroots Arts Program Funds</w:t>
      </w:r>
    </w:p>
    <w:p w14:paraId="2BF5164D" w14:textId="77777777" w:rsidR="009A328B" w:rsidRPr="00033BB5" w:rsidRDefault="009A328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034F0E5" w14:textId="56744E30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Grassroots Arts Program funds may be used for expenditures to conduct quality arts programs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or operate an arts organization. Typical uses of Grassroots money include:</w:t>
      </w:r>
    </w:p>
    <w:p w14:paraId="6D443E50" w14:textId="77777777" w:rsidR="009A328B" w:rsidRPr="00033BB5" w:rsidRDefault="009A328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CCF0380" w14:textId="62175E70" w:rsidR="008E1FBE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Program expenses such as professional artists’ fees and travel, space rental, advertising,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marketing and publicity, website and electronic media, scripts, costumes, sets, props, music</w:t>
      </w:r>
      <w:r w:rsidR="00101BE2">
        <w:rPr>
          <w:rFonts w:asciiTheme="majorHAnsi" w:hAnsiTheme="majorHAnsi" w:cstheme="majorHAnsi"/>
          <w:sz w:val="20"/>
          <w:szCs w:val="20"/>
        </w:rPr>
        <w:t>,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and equipment rental.</w:t>
      </w:r>
    </w:p>
    <w:p w14:paraId="67368131" w14:textId="77777777" w:rsidR="00377495" w:rsidRPr="00033BB5" w:rsidRDefault="00377495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426C981" w14:textId="358ECB13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Operating expenses for qualified arts organizations not already receiving operating support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from the N.C. Arts Council. These can include salaries, telephone, office supplies, printing,</w:t>
      </w:r>
      <w:r w:rsidR="00CC7658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postage, rent, utilities, insurance</w:t>
      </w:r>
      <w:r w:rsidR="00101BE2">
        <w:rPr>
          <w:rFonts w:asciiTheme="majorHAnsi" w:hAnsiTheme="majorHAnsi" w:cstheme="majorHAnsi"/>
          <w:sz w:val="20"/>
          <w:szCs w:val="20"/>
        </w:rPr>
        <w:t>,</w:t>
      </w:r>
      <w:r w:rsidRPr="00033BB5">
        <w:rPr>
          <w:rFonts w:asciiTheme="majorHAnsi" w:hAnsiTheme="majorHAnsi" w:cstheme="majorHAnsi"/>
          <w:sz w:val="20"/>
          <w:szCs w:val="20"/>
        </w:rPr>
        <w:t xml:space="preserve"> and equipment rental.</w:t>
      </w:r>
    </w:p>
    <w:p w14:paraId="5437AE23" w14:textId="77777777" w:rsidR="00BC7AE2" w:rsidRDefault="00BC7AE2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F0D4EC0" w14:textId="795530A2" w:rsidR="008E1FBE" w:rsidRPr="00033BB5" w:rsidRDefault="008E1FBE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Priorities for Funding</w:t>
      </w:r>
    </w:p>
    <w:p w14:paraId="16DA1C0A" w14:textId="77777777" w:rsidR="009A328B" w:rsidRPr="00033BB5" w:rsidRDefault="009A328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9FCF83D" w14:textId="2F231517" w:rsidR="00E86FCE" w:rsidRPr="00033BB5" w:rsidRDefault="00BC7AE2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#1 - O</w:t>
      </w:r>
      <w:r w:rsidR="008E1FBE" w:rsidRPr="00033BB5">
        <w:rPr>
          <w:rFonts w:asciiTheme="majorHAnsi" w:hAnsiTheme="majorHAnsi" w:cstheme="majorHAnsi"/>
          <w:sz w:val="20"/>
          <w:szCs w:val="20"/>
        </w:rPr>
        <w:t xml:space="preserve">perating or </w:t>
      </w:r>
      <w:r w:rsidR="005F6A18">
        <w:rPr>
          <w:rFonts w:asciiTheme="majorHAnsi" w:hAnsiTheme="majorHAnsi" w:cstheme="majorHAnsi"/>
          <w:sz w:val="20"/>
          <w:szCs w:val="20"/>
        </w:rPr>
        <w:t>programming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="008E1FBE" w:rsidRPr="00033BB5">
        <w:rPr>
          <w:rFonts w:asciiTheme="majorHAnsi" w:hAnsiTheme="majorHAnsi" w:cstheme="majorHAnsi"/>
          <w:sz w:val="20"/>
          <w:szCs w:val="20"/>
        </w:rPr>
        <w:t>support to qualified arts organizations not already receiving or eligible to receive support from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="008E1FBE" w:rsidRPr="00033BB5">
        <w:rPr>
          <w:rFonts w:asciiTheme="majorHAnsi" w:hAnsiTheme="majorHAnsi" w:cstheme="majorHAnsi"/>
          <w:sz w:val="20"/>
          <w:szCs w:val="20"/>
        </w:rPr>
        <w:t xml:space="preserve">the N.C. Arts Council. </w:t>
      </w:r>
    </w:p>
    <w:p w14:paraId="2D595F06" w14:textId="34FE4536" w:rsidR="008E1FBE" w:rsidRPr="00033BB5" w:rsidRDefault="00BC7AE2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#2 - A</w:t>
      </w:r>
      <w:r w:rsidR="008E1FBE" w:rsidRPr="00033BB5">
        <w:rPr>
          <w:rFonts w:asciiTheme="majorHAnsi" w:hAnsiTheme="majorHAnsi" w:cstheme="majorHAnsi"/>
          <w:sz w:val="20"/>
          <w:szCs w:val="20"/>
        </w:rPr>
        <w:t>rts learning and arts</w:t>
      </w:r>
      <w:r>
        <w:rPr>
          <w:rFonts w:asciiTheme="majorHAnsi" w:hAnsiTheme="majorHAnsi" w:cstheme="majorHAnsi"/>
          <w:sz w:val="20"/>
          <w:szCs w:val="20"/>
        </w:rPr>
        <w:t>-</w:t>
      </w:r>
      <w:r w:rsidR="008E1FBE" w:rsidRPr="00033BB5">
        <w:rPr>
          <w:rFonts w:asciiTheme="majorHAnsi" w:hAnsiTheme="majorHAnsi" w:cstheme="majorHAnsi"/>
          <w:sz w:val="20"/>
          <w:szCs w:val="20"/>
        </w:rPr>
        <w:t>in</w:t>
      </w:r>
      <w:r>
        <w:rPr>
          <w:rFonts w:asciiTheme="majorHAnsi" w:hAnsiTheme="majorHAnsi" w:cstheme="majorHAnsi"/>
          <w:sz w:val="20"/>
          <w:szCs w:val="20"/>
        </w:rPr>
        <w:t>-</w:t>
      </w:r>
      <w:r w:rsidR="008E1FBE" w:rsidRPr="00033BB5">
        <w:rPr>
          <w:rFonts w:asciiTheme="majorHAnsi" w:hAnsiTheme="majorHAnsi" w:cstheme="majorHAnsi"/>
          <w:sz w:val="20"/>
          <w:szCs w:val="20"/>
        </w:rPr>
        <w:t>education programs conducted by qualified artists. These can be artist residencies in schools,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="008E1FBE" w:rsidRPr="00033BB5">
        <w:rPr>
          <w:rFonts w:asciiTheme="majorHAnsi" w:hAnsiTheme="majorHAnsi" w:cstheme="majorHAnsi"/>
          <w:sz w:val="20"/>
          <w:szCs w:val="20"/>
        </w:rPr>
        <w:t>afterschool or summer camps</w:t>
      </w:r>
      <w:r>
        <w:rPr>
          <w:rFonts w:asciiTheme="majorHAnsi" w:hAnsiTheme="majorHAnsi" w:cstheme="majorHAnsi"/>
          <w:sz w:val="20"/>
          <w:szCs w:val="20"/>
        </w:rPr>
        <w:t>,</w:t>
      </w:r>
      <w:r w:rsidR="008E1FBE" w:rsidRPr="00033BB5">
        <w:rPr>
          <w:rFonts w:asciiTheme="majorHAnsi" w:hAnsiTheme="majorHAnsi" w:cstheme="majorHAnsi"/>
          <w:sz w:val="20"/>
          <w:szCs w:val="20"/>
        </w:rPr>
        <w:t xml:space="preserve"> or adult arts learning classes.</w:t>
      </w:r>
    </w:p>
    <w:p w14:paraId="6C689BB3" w14:textId="45D8E381" w:rsidR="008E1FBE" w:rsidRDefault="00BC7AE2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#3 - Subgr</w:t>
      </w:r>
      <w:r w:rsidR="008E1FBE" w:rsidRPr="00033BB5">
        <w:rPr>
          <w:rFonts w:asciiTheme="majorHAnsi" w:hAnsiTheme="majorHAnsi" w:cstheme="majorHAnsi"/>
          <w:sz w:val="20"/>
          <w:szCs w:val="20"/>
        </w:rPr>
        <w:t>ants to community, civic and municipal</w:t>
      </w:r>
      <w:r w:rsidR="00C0012E">
        <w:rPr>
          <w:rFonts w:asciiTheme="majorHAnsi" w:hAnsiTheme="majorHAnsi" w:cstheme="majorHAnsi"/>
          <w:sz w:val="20"/>
          <w:szCs w:val="20"/>
        </w:rPr>
        <w:t xml:space="preserve"> </w:t>
      </w:r>
      <w:r w:rsidR="008E1FBE" w:rsidRPr="00033BB5">
        <w:rPr>
          <w:rFonts w:asciiTheme="majorHAnsi" w:hAnsiTheme="majorHAnsi" w:cstheme="majorHAnsi"/>
          <w:sz w:val="20"/>
          <w:szCs w:val="20"/>
        </w:rPr>
        <w:t xml:space="preserve">organizations. </w:t>
      </w:r>
      <w:r w:rsidR="0062589D">
        <w:rPr>
          <w:rFonts w:asciiTheme="majorHAnsi" w:hAnsiTheme="majorHAnsi" w:cstheme="majorHAnsi"/>
          <w:sz w:val="20"/>
          <w:szCs w:val="20"/>
        </w:rPr>
        <w:t>P</w:t>
      </w:r>
      <w:r w:rsidR="008E1FBE" w:rsidRPr="00033BB5">
        <w:rPr>
          <w:rFonts w:asciiTheme="majorHAnsi" w:hAnsiTheme="majorHAnsi" w:cstheme="majorHAnsi"/>
          <w:sz w:val="20"/>
          <w:szCs w:val="20"/>
        </w:rPr>
        <w:t>rograms must be conducted by qualified artists.</w:t>
      </w:r>
    </w:p>
    <w:p w14:paraId="0FAAA648" w14:textId="77777777" w:rsidR="0062589D" w:rsidRPr="00033BB5" w:rsidRDefault="0062589D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DB5EAB" w14:textId="77777777" w:rsidR="006630DD" w:rsidRDefault="006630DD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5CC381A" w14:textId="77777777" w:rsidR="006630DD" w:rsidRDefault="006630DD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66DE63E" w14:textId="77777777" w:rsidR="006630DD" w:rsidRDefault="006630DD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42A101A" w14:textId="545CA3C8" w:rsidR="008E1FBE" w:rsidRPr="00033BB5" w:rsidRDefault="008E1FBE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lastRenderedPageBreak/>
        <w:t>Funding Policies</w:t>
      </w:r>
    </w:p>
    <w:p w14:paraId="7262BD2B" w14:textId="77777777" w:rsidR="00E86FCE" w:rsidRPr="00033BB5" w:rsidRDefault="00E86FCE" w:rsidP="00E86FC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8A6C288" w14:textId="3F3DA48B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• Tribal organizations that receive Grassroots funds must represent state or </w:t>
      </w:r>
      <w:proofErr w:type="gramStart"/>
      <w:r w:rsidR="00C52C45">
        <w:rPr>
          <w:rFonts w:asciiTheme="majorHAnsi" w:hAnsiTheme="majorHAnsi" w:cstheme="majorHAnsi"/>
          <w:sz w:val="20"/>
          <w:szCs w:val="20"/>
        </w:rPr>
        <w:t>federally-recognized</w:t>
      </w:r>
      <w:proofErr w:type="gramEnd"/>
      <w:r w:rsidRPr="00033BB5">
        <w:rPr>
          <w:rFonts w:asciiTheme="majorHAnsi" w:hAnsiTheme="majorHAnsi" w:cstheme="majorHAnsi"/>
          <w:sz w:val="20"/>
          <w:szCs w:val="20"/>
        </w:rPr>
        <w:t xml:space="preserve"> tribes.</w:t>
      </w:r>
    </w:p>
    <w:p w14:paraId="0B2FED8A" w14:textId="1D0D5061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Colleges, universities</w:t>
      </w:r>
      <w:r w:rsidR="00101BE2">
        <w:rPr>
          <w:rFonts w:asciiTheme="majorHAnsi" w:hAnsiTheme="majorHAnsi" w:cstheme="majorHAnsi"/>
          <w:sz w:val="20"/>
          <w:szCs w:val="20"/>
        </w:rPr>
        <w:t>,</w:t>
      </w:r>
      <w:r w:rsidRPr="00033BB5">
        <w:rPr>
          <w:rFonts w:asciiTheme="majorHAnsi" w:hAnsiTheme="majorHAnsi" w:cstheme="majorHAnsi"/>
          <w:sz w:val="20"/>
          <w:szCs w:val="20"/>
        </w:rPr>
        <w:t xml:space="preserve"> and libraries may receive grants for arts programs that are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 xml:space="preserve">community-based or </w:t>
      </w:r>
      <w:r w:rsidR="0062589D">
        <w:rPr>
          <w:rFonts w:asciiTheme="majorHAnsi" w:hAnsiTheme="majorHAnsi" w:cstheme="majorHAnsi"/>
          <w:sz w:val="20"/>
          <w:szCs w:val="20"/>
        </w:rPr>
        <w:t xml:space="preserve">that </w:t>
      </w:r>
      <w:r w:rsidRPr="00033BB5">
        <w:rPr>
          <w:rFonts w:asciiTheme="majorHAnsi" w:hAnsiTheme="majorHAnsi" w:cstheme="majorHAnsi"/>
          <w:sz w:val="20"/>
          <w:szCs w:val="20"/>
        </w:rPr>
        <w:t>generate regional arts involvement. Grants may not support their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 xml:space="preserve">internal programs, </w:t>
      </w:r>
      <w:r w:rsidR="00BC7AE2">
        <w:rPr>
          <w:rFonts w:asciiTheme="majorHAnsi" w:hAnsiTheme="majorHAnsi" w:cstheme="majorHAnsi"/>
          <w:sz w:val="20"/>
          <w:szCs w:val="20"/>
        </w:rPr>
        <w:t xml:space="preserve">or </w:t>
      </w:r>
      <w:r w:rsidRPr="00033BB5">
        <w:rPr>
          <w:rFonts w:asciiTheme="majorHAnsi" w:hAnsiTheme="majorHAnsi" w:cstheme="majorHAnsi"/>
          <w:sz w:val="20"/>
          <w:szCs w:val="20"/>
        </w:rPr>
        <w:t>administrat</w:t>
      </w:r>
      <w:r w:rsidR="0084202C">
        <w:rPr>
          <w:rFonts w:asciiTheme="majorHAnsi" w:hAnsiTheme="majorHAnsi" w:cstheme="majorHAnsi"/>
          <w:sz w:val="20"/>
          <w:szCs w:val="20"/>
        </w:rPr>
        <w:t>ive</w:t>
      </w:r>
      <w:r w:rsidRPr="00033BB5">
        <w:rPr>
          <w:rFonts w:asciiTheme="majorHAnsi" w:hAnsiTheme="majorHAnsi" w:cstheme="majorHAnsi"/>
          <w:sz w:val="20"/>
          <w:szCs w:val="20"/>
        </w:rPr>
        <w:t xml:space="preserve"> or operation expenses (library books, band boosters,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equipment purchases).</w:t>
      </w:r>
    </w:p>
    <w:p w14:paraId="682D8560" w14:textId="005A8C70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Subgrants may not be awarded to individuals or organizations for prizes, competitions,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tuition, or financial rewards.</w:t>
      </w:r>
    </w:p>
    <w:p w14:paraId="3562AE3C" w14:textId="36B4E629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Grassroots funds may not be used for art supplies or equipment.</w:t>
      </w:r>
      <w:r w:rsidR="00101BE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905F02C" w14:textId="6FECEB8B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Religious organizations or churches may not receive Grassroots funds unless the programs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are presented outside regular church services, engage the larger community</w:t>
      </w:r>
      <w:r w:rsidR="005F6A18">
        <w:rPr>
          <w:rFonts w:asciiTheme="majorHAnsi" w:hAnsiTheme="majorHAnsi" w:cstheme="majorHAnsi"/>
          <w:sz w:val="20"/>
          <w:szCs w:val="20"/>
        </w:rPr>
        <w:t>,</w:t>
      </w:r>
      <w:r w:rsidRPr="00033BB5">
        <w:rPr>
          <w:rFonts w:asciiTheme="majorHAnsi" w:hAnsiTheme="majorHAnsi" w:cstheme="majorHAnsi"/>
          <w:sz w:val="20"/>
          <w:szCs w:val="20"/>
        </w:rPr>
        <w:t xml:space="preserve"> and do not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contain religious content.</w:t>
      </w:r>
    </w:p>
    <w:p w14:paraId="12D85227" w14:textId="79454942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Grassroots funds may not be used for activities associated with a school’s internal arts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programs such as in-school student performances, the purchase of art supplies, or student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arts competitions and publications.</w:t>
      </w:r>
    </w:p>
    <w:p w14:paraId="2D1FD55C" w14:textId="0F582B7E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• Municipalities (city/county governments) may receive grants for arts programs </w:t>
      </w:r>
      <w:r w:rsidR="005F6A18">
        <w:rPr>
          <w:rFonts w:asciiTheme="majorHAnsi" w:hAnsiTheme="majorHAnsi" w:cstheme="majorHAnsi"/>
          <w:sz w:val="20"/>
          <w:szCs w:val="20"/>
        </w:rPr>
        <w:t>that</w:t>
      </w:r>
      <w:r w:rsidRPr="00033BB5">
        <w:rPr>
          <w:rFonts w:asciiTheme="majorHAnsi" w:hAnsiTheme="majorHAnsi" w:cstheme="majorHAnsi"/>
          <w:sz w:val="20"/>
          <w:szCs w:val="20"/>
        </w:rPr>
        <w:t xml:space="preserve"> use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qualified artists to conduct programs that involve the greater community. Grants may not</w:t>
      </w:r>
      <w:r w:rsidR="0084202C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support internal programs, administrat</w:t>
      </w:r>
      <w:r w:rsidR="00101BE2">
        <w:rPr>
          <w:rFonts w:asciiTheme="majorHAnsi" w:hAnsiTheme="majorHAnsi" w:cstheme="majorHAnsi"/>
          <w:sz w:val="20"/>
          <w:szCs w:val="20"/>
        </w:rPr>
        <w:t xml:space="preserve">ive, </w:t>
      </w:r>
      <w:r w:rsidRPr="00033BB5">
        <w:rPr>
          <w:rFonts w:asciiTheme="majorHAnsi" w:hAnsiTheme="majorHAnsi" w:cstheme="majorHAnsi"/>
          <w:sz w:val="20"/>
          <w:szCs w:val="20"/>
        </w:rPr>
        <w:t>or operating expenses.</w:t>
      </w:r>
    </w:p>
    <w:p w14:paraId="170A1DE9" w14:textId="77777777" w:rsidR="00485A6F" w:rsidRDefault="00485A6F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9490490" w14:textId="52942B10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 xml:space="preserve">Grassroots Arts Program money may </w:t>
      </w:r>
      <w:r w:rsidRPr="00AC37AD">
        <w:rPr>
          <w:rFonts w:asciiTheme="majorHAnsi" w:hAnsiTheme="majorHAnsi" w:cstheme="majorHAnsi"/>
          <w:b/>
          <w:bCs/>
          <w:i/>
          <w:iCs/>
          <w:sz w:val="20"/>
          <w:szCs w:val="20"/>
        </w:rPr>
        <w:t>not</w:t>
      </w:r>
      <w:r w:rsidRPr="00033BB5">
        <w:rPr>
          <w:rFonts w:asciiTheme="majorHAnsi" w:hAnsiTheme="majorHAnsi" w:cstheme="majorHAnsi"/>
          <w:sz w:val="20"/>
          <w:szCs w:val="20"/>
        </w:rPr>
        <w:t xml:space="preserve"> be used for the following kinds of expenditures:</w:t>
      </w:r>
    </w:p>
    <w:p w14:paraId="56107001" w14:textId="77777777" w:rsidR="0020435E" w:rsidRDefault="0020435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140CF7F" w14:textId="358F5083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Art, music, and dance therapists</w:t>
      </w:r>
    </w:p>
    <w:p w14:paraId="6E65040A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Artifacts</w:t>
      </w:r>
    </w:p>
    <w:p w14:paraId="3458E9B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Purchase artwork</w:t>
      </w:r>
    </w:p>
    <w:p w14:paraId="520B1BDF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Purchase equipment or art supplies</w:t>
      </w:r>
    </w:p>
    <w:p w14:paraId="0F3926A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Capital expenditures or equipment</w:t>
      </w:r>
    </w:p>
    <w:p w14:paraId="1E8CE36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Contingency funds</w:t>
      </w:r>
    </w:p>
    <w:p w14:paraId="1DFCE79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Deficit reduction</w:t>
      </w:r>
    </w:p>
    <w:p w14:paraId="0A4D91C2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Fundraising events</w:t>
      </w:r>
    </w:p>
    <w:p w14:paraId="5CDD634A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Food or beverages for hospitality or entertainment functions</w:t>
      </w:r>
    </w:p>
    <w:p w14:paraId="34370758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School band activities or equipment</w:t>
      </w:r>
    </w:p>
    <w:p w14:paraId="3E217F4E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School choral activities</w:t>
      </w:r>
    </w:p>
    <w:p w14:paraId="261D9FFD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Lobbying expenses</w:t>
      </w:r>
    </w:p>
    <w:p w14:paraId="598F7FC8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Oral history and history projects</w:t>
      </w:r>
    </w:p>
    <w:p w14:paraId="7125F172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Tuition for academic study</w:t>
      </w:r>
    </w:p>
    <w:p w14:paraId="57ACA1CB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Interest on loans, fines, or litigation costs</w:t>
      </w:r>
    </w:p>
    <w:p w14:paraId="69423B28" w14:textId="77777777" w:rsidR="005B740B" w:rsidRPr="00033BB5" w:rsidRDefault="005B740B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D93888" w14:textId="34393F6F" w:rsidR="008E1FBE" w:rsidRDefault="008E1FBE" w:rsidP="00C52C4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52C45">
        <w:rPr>
          <w:rFonts w:asciiTheme="majorHAnsi" w:hAnsiTheme="majorHAnsi" w:cstheme="majorHAnsi"/>
          <w:b/>
          <w:bCs/>
          <w:sz w:val="20"/>
          <w:szCs w:val="20"/>
        </w:rPr>
        <w:t>How Subgrant Applications Are Evaluated</w:t>
      </w:r>
    </w:p>
    <w:p w14:paraId="7964C8C7" w14:textId="77777777" w:rsidR="00C52C45" w:rsidRPr="00C52C45" w:rsidRDefault="00C52C45" w:rsidP="00C52C4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8910AFD" w14:textId="02A21C41" w:rsidR="008E1FBE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Subgrant applications are reviewed by a diverse panel of community member</w:t>
      </w:r>
      <w:r w:rsidR="00C52C45">
        <w:rPr>
          <w:rFonts w:asciiTheme="majorHAnsi" w:hAnsiTheme="majorHAnsi" w:cstheme="majorHAnsi"/>
          <w:sz w:val="20"/>
          <w:szCs w:val="20"/>
        </w:rPr>
        <w:t>s which e</w:t>
      </w:r>
      <w:r w:rsidRPr="00033BB5">
        <w:rPr>
          <w:rFonts w:asciiTheme="majorHAnsi" w:hAnsiTheme="majorHAnsi" w:cstheme="majorHAnsi"/>
          <w:sz w:val="20"/>
          <w:szCs w:val="20"/>
        </w:rPr>
        <w:t>valuates</w:t>
      </w:r>
      <w:r w:rsidR="009E3E16">
        <w:rPr>
          <w:rFonts w:asciiTheme="majorHAnsi" w:hAnsiTheme="majorHAnsi" w:cstheme="majorHAnsi"/>
          <w:sz w:val="20"/>
          <w:szCs w:val="20"/>
        </w:rPr>
        <w:t xml:space="preserve"> </w:t>
      </w:r>
      <w:r w:rsidRPr="00033BB5">
        <w:rPr>
          <w:rFonts w:asciiTheme="majorHAnsi" w:hAnsiTheme="majorHAnsi" w:cstheme="majorHAnsi"/>
          <w:sz w:val="20"/>
          <w:szCs w:val="20"/>
        </w:rPr>
        <w:t>each application based on the subgrant guidelines and the following criteria:</w:t>
      </w:r>
    </w:p>
    <w:p w14:paraId="7CF18ACD" w14:textId="77777777" w:rsidR="006F1D3A" w:rsidRPr="00033BB5" w:rsidRDefault="006F1D3A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F5F5869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Artistic quality of proposed project or programs</w:t>
      </w:r>
    </w:p>
    <w:p w14:paraId="67CF9F71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Community impact of project or programs</w:t>
      </w:r>
    </w:p>
    <w:p w14:paraId="23249016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Ability to plan and implement project</w:t>
      </w:r>
    </w:p>
    <w:p w14:paraId="4CB87442" w14:textId="77777777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• Stability and fiscal responsibility of the organization</w:t>
      </w:r>
    </w:p>
    <w:p w14:paraId="4ACDFDA3" w14:textId="77777777" w:rsidR="0020435E" w:rsidRDefault="0020435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8B9101C" w14:textId="5927F7E2" w:rsidR="00C52C45" w:rsidRDefault="00C52C45" w:rsidP="00C52C45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subgrant panel’s fu</w:t>
      </w:r>
      <w:r w:rsidR="0062589D">
        <w:rPr>
          <w:rFonts w:asciiTheme="majorHAnsi" w:hAnsiTheme="majorHAnsi" w:cstheme="majorHAnsi"/>
          <w:sz w:val="20"/>
          <w:szCs w:val="20"/>
        </w:rPr>
        <w:t xml:space="preserve">nding recommendations must be approved by the </w:t>
      </w:r>
      <w:r>
        <w:rPr>
          <w:rFonts w:asciiTheme="majorHAnsi" w:hAnsiTheme="majorHAnsi" w:cstheme="majorHAnsi"/>
          <w:sz w:val="20"/>
          <w:szCs w:val="20"/>
        </w:rPr>
        <w:t xml:space="preserve">Arts Council of Wilmington’s </w:t>
      </w:r>
      <w:r w:rsidR="0062589D">
        <w:rPr>
          <w:rFonts w:asciiTheme="majorHAnsi" w:hAnsiTheme="majorHAnsi" w:cstheme="majorHAnsi"/>
          <w:sz w:val="20"/>
          <w:szCs w:val="20"/>
        </w:rPr>
        <w:t>board of directors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bookmarkStart w:id="1" w:name="_Hlk102555317"/>
    </w:p>
    <w:p w14:paraId="0C4389D9" w14:textId="3AB5BA4E" w:rsidR="008E1FBE" w:rsidRPr="00033BB5" w:rsidRDefault="008E1FBE" w:rsidP="003E251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33BB5">
        <w:rPr>
          <w:rFonts w:asciiTheme="majorHAnsi" w:hAnsiTheme="majorHAnsi" w:cstheme="majorHAnsi"/>
          <w:b/>
          <w:bCs/>
          <w:sz w:val="20"/>
          <w:szCs w:val="20"/>
        </w:rPr>
        <w:t>Questions and Assistance</w:t>
      </w:r>
    </w:p>
    <w:p w14:paraId="2AB44AF9" w14:textId="77777777" w:rsidR="004B4E23" w:rsidRDefault="004B4E23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488D6CD" w14:textId="15844FA1" w:rsidR="008E1FBE" w:rsidRPr="00033BB5" w:rsidRDefault="008E1FBE" w:rsidP="008E1F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33BB5">
        <w:rPr>
          <w:rFonts w:asciiTheme="majorHAnsi" w:hAnsiTheme="majorHAnsi" w:cstheme="majorHAnsi"/>
          <w:sz w:val="20"/>
          <w:szCs w:val="20"/>
        </w:rPr>
        <w:t>If you have questions or need assistance, please contact Rhonda Bellamy at 910-343-0998 or email at</w:t>
      </w:r>
      <w:r w:rsidR="003E2514" w:rsidRPr="00033BB5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1147E8" w:rsidRPr="009B205F">
          <w:rPr>
            <w:rStyle w:val="Hyperlink"/>
            <w:rFonts w:asciiTheme="majorHAnsi" w:hAnsiTheme="majorHAnsi" w:cstheme="majorHAnsi"/>
            <w:sz w:val="20"/>
            <w:szCs w:val="20"/>
          </w:rPr>
          <w:t>grants</w:t>
        </w:r>
        <w:r w:rsidRPr="009B205F">
          <w:rPr>
            <w:rStyle w:val="Hyperlink"/>
            <w:rFonts w:asciiTheme="majorHAnsi" w:hAnsiTheme="majorHAnsi" w:cstheme="majorHAnsi"/>
            <w:sz w:val="20"/>
            <w:szCs w:val="20"/>
          </w:rPr>
          <w:t>@artswilmington.org</w:t>
        </w:r>
      </w:hyperlink>
      <w:r w:rsidRPr="00033BB5">
        <w:rPr>
          <w:rFonts w:asciiTheme="majorHAnsi" w:hAnsiTheme="majorHAnsi" w:cstheme="majorHAnsi"/>
          <w:sz w:val="20"/>
          <w:szCs w:val="20"/>
        </w:rPr>
        <w:t>.</w:t>
      </w:r>
    </w:p>
    <w:bookmarkEnd w:id="1"/>
    <w:p w14:paraId="2B445A2B" w14:textId="7843E0AF" w:rsidR="002E0ADB" w:rsidRPr="00033BB5" w:rsidRDefault="002E0ADB" w:rsidP="002E0AD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2E0ADB" w:rsidRPr="00033BB5" w:rsidSect="00C73C5C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F2A3E" w14:textId="77777777" w:rsidR="00C73C5C" w:rsidRDefault="00C73C5C" w:rsidP="00B56C6C">
      <w:r>
        <w:separator/>
      </w:r>
    </w:p>
  </w:endnote>
  <w:endnote w:type="continuationSeparator" w:id="0">
    <w:p w14:paraId="5B774ED3" w14:textId="77777777" w:rsidR="00C73C5C" w:rsidRDefault="00C73C5C" w:rsidP="00B56C6C">
      <w:r>
        <w:continuationSeparator/>
      </w:r>
    </w:p>
  </w:endnote>
  <w:endnote w:type="continuationNotice" w:id="1">
    <w:p w14:paraId="2EF16010" w14:textId="77777777" w:rsidR="00C73C5C" w:rsidRDefault="00C73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DIN Condensed Bold">
    <w:altName w:val="Calibri"/>
    <w:charset w:val="00"/>
    <w:family w:val="auto"/>
    <w:pitch w:val="variable"/>
    <w:sig w:usb0="800000AF" w:usb1="5000204A" w:usb2="00000000" w:usb3="00000000" w:csb0="00000001" w:csb1="00000000"/>
  </w:font>
  <w:font w:name="Avenir Oblique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74D81" w14:textId="51115CA9" w:rsidR="00B56C6C" w:rsidRDefault="00B56C6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97F0C" w14:textId="77777777" w:rsidR="00B56C6C" w:rsidRPr="00B56C6C" w:rsidRDefault="00B56C6C" w:rsidP="00B56C6C">
    <w:pPr>
      <w:pStyle w:val="Footer"/>
      <w:jc w:val="center"/>
      <w:rPr>
        <w:rFonts w:ascii="DIN Condensed Bold" w:hAnsi="DIN Condensed Bold" w:cs="Times New Roman"/>
        <w:color w:val="262626" w:themeColor="text1" w:themeTint="D9"/>
        <w:sz w:val="18"/>
        <w:szCs w:val="18"/>
      </w:rPr>
    </w:pP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 xml:space="preserve">artswilmington.org </w:t>
    </w:r>
    <w:r w:rsidRPr="00B56C6C">
      <w:rPr>
        <w:rFonts w:ascii="DIN Condensed Bold" w:hAnsi="DIN Condensed Bold" w:cs="Times New Roman"/>
        <w:color w:val="FF860D"/>
        <w:sz w:val="18"/>
        <w:szCs w:val="18"/>
      </w:rPr>
      <w:t xml:space="preserve">• </w:t>
    </w: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 xml:space="preserve">info@artswilmington.org </w:t>
    </w:r>
    <w:r w:rsidRPr="00B56C6C">
      <w:rPr>
        <w:rFonts w:ascii="DIN Condensed Bold" w:hAnsi="DIN Condensed Bold" w:cs="Times New Roman"/>
        <w:color w:val="FF860D"/>
        <w:sz w:val="18"/>
        <w:szCs w:val="18"/>
      </w:rPr>
      <w:t xml:space="preserve">• </w:t>
    </w: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>910 343 0998</w:t>
    </w:r>
  </w:p>
  <w:p w14:paraId="11CBB280" w14:textId="77777777" w:rsidR="00B56C6C" w:rsidRPr="00B56C6C" w:rsidRDefault="00B56C6C" w:rsidP="0046035E">
    <w:pPr>
      <w:pStyle w:val="Footer"/>
      <w:spacing w:before="60"/>
      <w:jc w:val="center"/>
      <w:rPr>
        <w:rFonts w:ascii="DIN Condensed Bold" w:hAnsi="DIN Condensed Bold"/>
        <w:sz w:val="18"/>
        <w:szCs w:val="18"/>
      </w:rPr>
    </w:pPr>
    <w:r w:rsidRPr="0046035E">
      <w:rPr>
        <w:rFonts w:ascii="Avenir Oblique" w:hAnsi="Avenir Oblique"/>
        <w:color w:val="262626" w:themeColor="text1" w:themeTint="D9"/>
        <w:sz w:val="18"/>
        <w:szCs w:val="18"/>
      </w:rPr>
      <w:ptab w:relativeTo="margin" w:alignment="center" w:leader="none"/>
    </w:r>
    <w:r w:rsidRPr="0046035E">
      <w:rPr>
        <w:rFonts w:ascii="Avenir Oblique" w:hAnsi="Avenir Oblique" w:cs="Times New Roman"/>
        <w:color w:val="262626" w:themeColor="text1" w:themeTint="D9"/>
        <w:sz w:val="18"/>
        <w:szCs w:val="18"/>
      </w:rPr>
      <w:t>visit:</w:t>
    </w: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 xml:space="preserve"> 221 N Front St, Suite 101, Wilmington, NC 28401 </w:t>
    </w:r>
    <w:r w:rsidRPr="00B56C6C">
      <w:rPr>
        <w:rFonts w:ascii="DIN Condensed Bold" w:hAnsi="DIN Condensed Bold" w:cs="Times New Roman"/>
        <w:color w:val="FF860D"/>
        <w:sz w:val="18"/>
        <w:szCs w:val="18"/>
      </w:rPr>
      <w:t xml:space="preserve">• </w:t>
    </w:r>
    <w:r w:rsidR="0046035E">
      <w:rPr>
        <w:rFonts w:ascii="Avenir Oblique" w:hAnsi="Avenir Oblique" w:cs="Times New Roman"/>
        <w:color w:val="262626" w:themeColor="text1" w:themeTint="D9"/>
        <w:sz w:val="18"/>
        <w:szCs w:val="18"/>
      </w:rPr>
      <w:t>mail</w:t>
    </w:r>
    <w:r w:rsidR="0046035E" w:rsidRPr="0046035E">
      <w:rPr>
        <w:rFonts w:ascii="Avenir Oblique" w:hAnsi="Avenir Oblique" w:cs="Times New Roman"/>
        <w:color w:val="262626" w:themeColor="text1" w:themeTint="D9"/>
        <w:sz w:val="18"/>
        <w:szCs w:val="18"/>
      </w:rPr>
      <w:t>:</w:t>
    </w:r>
    <w:r w:rsidR="0046035E"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 xml:space="preserve"> </w:t>
    </w:r>
    <w:r w:rsidRPr="00B56C6C">
      <w:rPr>
        <w:rFonts w:ascii="DIN Condensed Bold" w:hAnsi="DIN Condensed Bold" w:cs="Times New Roman"/>
        <w:color w:val="262626" w:themeColor="text1" w:themeTint="D9"/>
        <w:sz w:val="18"/>
        <w:szCs w:val="18"/>
      </w:rPr>
      <w:t>P.O. Box 1973, Wilmington, NC 28402</w:t>
    </w:r>
    <w:r w:rsidRPr="00B56C6C">
      <w:rPr>
        <w:rFonts w:ascii="DIN Condensed Bold" w:hAnsi="DIN Condensed Bold"/>
        <w:color w:val="262626" w:themeColor="text1" w:themeTint="D9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41D23" w14:textId="77777777" w:rsidR="00C73C5C" w:rsidRDefault="00C73C5C" w:rsidP="00B56C6C">
      <w:r>
        <w:separator/>
      </w:r>
    </w:p>
  </w:footnote>
  <w:footnote w:type="continuationSeparator" w:id="0">
    <w:p w14:paraId="5AD186BD" w14:textId="77777777" w:rsidR="00C73C5C" w:rsidRDefault="00C73C5C" w:rsidP="00B56C6C">
      <w:r>
        <w:continuationSeparator/>
      </w:r>
    </w:p>
  </w:footnote>
  <w:footnote w:type="continuationNotice" w:id="1">
    <w:p w14:paraId="0E9CEBB5" w14:textId="77777777" w:rsidR="00C73C5C" w:rsidRDefault="00C73C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FD3A4" w14:textId="1D2CA8EE" w:rsidR="005F6A18" w:rsidRDefault="006258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F2CA19" wp14:editId="0BE60A4E">
          <wp:simplePos x="0" y="0"/>
          <wp:positionH relativeFrom="margin">
            <wp:posOffset>3106420</wp:posOffset>
          </wp:positionH>
          <wp:positionV relativeFrom="paragraph">
            <wp:posOffset>116205</wp:posOffset>
          </wp:positionV>
          <wp:extent cx="1480185" cy="556895"/>
          <wp:effectExtent l="0" t="0" r="5715" b="0"/>
          <wp:wrapTight wrapText="bothSides">
            <wp:wrapPolygon edited="0">
              <wp:start x="0" y="0"/>
              <wp:lineTo x="0" y="20689"/>
              <wp:lineTo x="21405" y="20689"/>
              <wp:lineTo x="21405" y="0"/>
              <wp:lineTo x="0" y="0"/>
            </wp:wrapPolygon>
          </wp:wrapTight>
          <wp:docPr id="1852201327" name="Picture 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201327" name="Picture 8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18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45BDE" wp14:editId="542481B6">
          <wp:simplePos x="0" y="0"/>
          <wp:positionH relativeFrom="column">
            <wp:posOffset>1116477</wp:posOffset>
          </wp:positionH>
          <wp:positionV relativeFrom="paragraph">
            <wp:posOffset>155340</wp:posOffset>
          </wp:positionV>
          <wp:extent cx="1644650" cy="493395"/>
          <wp:effectExtent l="0" t="0" r="0" b="1905"/>
          <wp:wrapTight wrapText="bothSides">
            <wp:wrapPolygon edited="0">
              <wp:start x="1251" y="0"/>
              <wp:lineTo x="0" y="4170"/>
              <wp:lineTo x="0" y="16680"/>
              <wp:lineTo x="1251" y="20849"/>
              <wp:lineTo x="5004" y="20849"/>
              <wp:lineTo x="12760" y="20849"/>
              <wp:lineTo x="19765" y="17514"/>
              <wp:lineTo x="19515" y="13344"/>
              <wp:lineTo x="21266" y="9174"/>
              <wp:lineTo x="21266" y="3336"/>
              <wp:lineTo x="5004" y="0"/>
              <wp:lineTo x="1251" y="0"/>
            </wp:wrapPolygon>
          </wp:wrapTight>
          <wp:docPr id="38335734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57344" name="Picture 3833573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465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A18">
      <w:ptab w:relativeTo="margin" w:alignment="center" w:leader="none"/>
    </w:r>
    <w:r w:rsidR="005F6A1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937DA"/>
    <w:multiLevelType w:val="hybridMultilevel"/>
    <w:tmpl w:val="EED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BBC"/>
    <w:multiLevelType w:val="hybridMultilevel"/>
    <w:tmpl w:val="F0B6F764"/>
    <w:lvl w:ilvl="0" w:tplc="6E542DEA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8BC"/>
    <w:multiLevelType w:val="hybridMultilevel"/>
    <w:tmpl w:val="1550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0E95"/>
    <w:multiLevelType w:val="hybridMultilevel"/>
    <w:tmpl w:val="12163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1FE2"/>
    <w:multiLevelType w:val="hybridMultilevel"/>
    <w:tmpl w:val="B84C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45EA"/>
    <w:multiLevelType w:val="hybridMultilevel"/>
    <w:tmpl w:val="B4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63F7"/>
    <w:multiLevelType w:val="hybridMultilevel"/>
    <w:tmpl w:val="B1D6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961A2"/>
    <w:multiLevelType w:val="hybridMultilevel"/>
    <w:tmpl w:val="90A4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96691">
    <w:abstractNumId w:val="0"/>
  </w:num>
  <w:num w:numId="2" w16cid:durableId="422993066">
    <w:abstractNumId w:val="4"/>
  </w:num>
  <w:num w:numId="3" w16cid:durableId="1214930777">
    <w:abstractNumId w:val="1"/>
  </w:num>
  <w:num w:numId="4" w16cid:durableId="1580746283">
    <w:abstractNumId w:val="6"/>
  </w:num>
  <w:num w:numId="5" w16cid:durableId="2117941816">
    <w:abstractNumId w:val="5"/>
  </w:num>
  <w:num w:numId="6" w16cid:durableId="477769935">
    <w:abstractNumId w:val="3"/>
  </w:num>
  <w:num w:numId="7" w16cid:durableId="2137021718">
    <w:abstractNumId w:val="2"/>
  </w:num>
  <w:num w:numId="8" w16cid:durableId="289439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91"/>
    <w:rsid w:val="00007095"/>
    <w:rsid w:val="00012092"/>
    <w:rsid w:val="00012B90"/>
    <w:rsid w:val="0002073C"/>
    <w:rsid w:val="00023B19"/>
    <w:rsid w:val="00033BB5"/>
    <w:rsid w:val="00041221"/>
    <w:rsid w:val="000429C0"/>
    <w:rsid w:val="00047686"/>
    <w:rsid w:val="0005214A"/>
    <w:rsid w:val="00054F68"/>
    <w:rsid w:val="00067DBA"/>
    <w:rsid w:val="00083C13"/>
    <w:rsid w:val="0008561E"/>
    <w:rsid w:val="000C1C20"/>
    <w:rsid w:val="000D5652"/>
    <w:rsid w:val="000D7D37"/>
    <w:rsid w:val="000E3964"/>
    <w:rsid w:val="000F3957"/>
    <w:rsid w:val="000F68E3"/>
    <w:rsid w:val="00101BE2"/>
    <w:rsid w:val="001023F6"/>
    <w:rsid w:val="001147E8"/>
    <w:rsid w:val="00114B7D"/>
    <w:rsid w:val="001154D0"/>
    <w:rsid w:val="0011598F"/>
    <w:rsid w:val="00121C7B"/>
    <w:rsid w:val="00123301"/>
    <w:rsid w:val="00126B1F"/>
    <w:rsid w:val="00135581"/>
    <w:rsid w:val="001466D8"/>
    <w:rsid w:val="00152520"/>
    <w:rsid w:val="001532FA"/>
    <w:rsid w:val="001733FA"/>
    <w:rsid w:val="0018366D"/>
    <w:rsid w:val="00183FBD"/>
    <w:rsid w:val="00184D2D"/>
    <w:rsid w:val="001A4772"/>
    <w:rsid w:val="001B03B3"/>
    <w:rsid w:val="001B16F2"/>
    <w:rsid w:val="001C404B"/>
    <w:rsid w:val="001F0B77"/>
    <w:rsid w:val="001F2973"/>
    <w:rsid w:val="001F2DD4"/>
    <w:rsid w:val="001F72E2"/>
    <w:rsid w:val="0020435E"/>
    <w:rsid w:val="0021329D"/>
    <w:rsid w:val="00235CBE"/>
    <w:rsid w:val="00240FAE"/>
    <w:rsid w:val="002529A0"/>
    <w:rsid w:val="002539CF"/>
    <w:rsid w:val="00271CE8"/>
    <w:rsid w:val="002830E7"/>
    <w:rsid w:val="0028575F"/>
    <w:rsid w:val="00287A06"/>
    <w:rsid w:val="00295361"/>
    <w:rsid w:val="002B18C3"/>
    <w:rsid w:val="002C2381"/>
    <w:rsid w:val="002E0ADB"/>
    <w:rsid w:val="002E3CF6"/>
    <w:rsid w:val="00304674"/>
    <w:rsid w:val="0032166D"/>
    <w:rsid w:val="00333849"/>
    <w:rsid w:val="00334D31"/>
    <w:rsid w:val="00337844"/>
    <w:rsid w:val="00367762"/>
    <w:rsid w:val="00377495"/>
    <w:rsid w:val="00391F35"/>
    <w:rsid w:val="003A09BF"/>
    <w:rsid w:val="003B347D"/>
    <w:rsid w:val="003B7A51"/>
    <w:rsid w:val="003C5278"/>
    <w:rsid w:val="003D20B4"/>
    <w:rsid w:val="003E2514"/>
    <w:rsid w:val="003E5E35"/>
    <w:rsid w:val="003F58E9"/>
    <w:rsid w:val="00402F8D"/>
    <w:rsid w:val="004070D6"/>
    <w:rsid w:val="004079AA"/>
    <w:rsid w:val="00424E5D"/>
    <w:rsid w:val="004349B6"/>
    <w:rsid w:val="00436528"/>
    <w:rsid w:val="00457ECC"/>
    <w:rsid w:val="0046035E"/>
    <w:rsid w:val="0046549D"/>
    <w:rsid w:val="00472695"/>
    <w:rsid w:val="00485A6F"/>
    <w:rsid w:val="00486FF7"/>
    <w:rsid w:val="0049078A"/>
    <w:rsid w:val="004A0C2B"/>
    <w:rsid w:val="004A30D1"/>
    <w:rsid w:val="004B043C"/>
    <w:rsid w:val="004B4E23"/>
    <w:rsid w:val="004D04FD"/>
    <w:rsid w:val="004E7B0E"/>
    <w:rsid w:val="004F1107"/>
    <w:rsid w:val="004F25FB"/>
    <w:rsid w:val="004F5598"/>
    <w:rsid w:val="004F6B06"/>
    <w:rsid w:val="005129B5"/>
    <w:rsid w:val="00521671"/>
    <w:rsid w:val="0053100C"/>
    <w:rsid w:val="0053356C"/>
    <w:rsid w:val="00550223"/>
    <w:rsid w:val="005672D7"/>
    <w:rsid w:val="00573B89"/>
    <w:rsid w:val="005842F9"/>
    <w:rsid w:val="005A3505"/>
    <w:rsid w:val="005A4D27"/>
    <w:rsid w:val="005B740B"/>
    <w:rsid w:val="005D0A30"/>
    <w:rsid w:val="005E4555"/>
    <w:rsid w:val="005F085A"/>
    <w:rsid w:val="005F6A18"/>
    <w:rsid w:val="00605565"/>
    <w:rsid w:val="0061148C"/>
    <w:rsid w:val="0062589D"/>
    <w:rsid w:val="006543A5"/>
    <w:rsid w:val="006552E6"/>
    <w:rsid w:val="006630DD"/>
    <w:rsid w:val="0068606C"/>
    <w:rsid w:val="006A4C82"/>
    <w:rsid w:val="006C05EC"/>
    <w:rsid w:val="006C6D83"/>
    <w:rsid w:val="006C768D"/>
    <w:rsid w:val="006E648C"/>
    <w:rsid w:val="006E7D9F"/>
    <w:rsid w:val="006F1D3A"/>
    <w:rsid w:val="0075671E"/>
    <w:rsid w:val="0076600E"/>
    <w:rsid w:val="00776402"/>
    <w:rsid w:val="007805C6"/>
    <w:rsid w:val="007872F4"/>
    <w:rsid w:val="007874B8"/>
    <w:rsid w:val="007906ED"/>
    <w:rsid w:val="007910E5"/>
    <w:rsid w:val="007978C4"/>
    <w:rsid w:val="007A0EA7"/>
    <w:rsid w:val="007A4832"/>
    <w:rsid w:val="007B54BB"/>
    <w:rsid w:val="007D2C9D"/>
    <w:rsid w:val="007D4420"/>
    <w:rsid w:val="007E30AC"/>
    <w:rsid w:val="00807034"/>
    <w:rsid w:val="00814A39"/>
    <w:rsid w:val="008158F6"/>
    <w:rsid w:val="008204C4"/>
    <w:rsid w:val="0082580E"/>
    <w:rsid w:val="0084202C"/>
    <w:rsid w:val="008436E7"/>
    <w:rsid w:val="00856F92"/>
    <w:rsid w:val="00871836"/>
    <w:rsid w:val="00885C30"/>
    <w:rsid w:val="0088633E"/>
    <w:rsid w:val="00896F77"/>
    <w:rsid w:val="008A33DB"/>
    <w:rsid w:val="008A4893"/>
    <w:rsid w:val="008B09FD"/>
    <w:rsid w:val="008C021B"/>
    <w:rsid w:val="008C0CA3"/>
    <w:rsid w:val="008C2435"/>
    <w:rsid w:val="008C5330"/>
    <w:rsid w:val="008D04F4"/>
    <w:rsid w:val="008E1FBE"/>
    <w:rsid w:val="008E734E"/>
    <w:rsid w:val="008F3B40"/>
    <w:rsid w:val="00911008"/>
    <w:rsid w:val="00917DAB"/>
    <w:rsid w:val="00922530"/>
    <w:rsid w:val="0097031A"/>
    <w:rsid w:val="0097290F"/>
    <w:rsid w:val="009752AB"/>
    <w:rsid w:val="00981665"/>
    <w:rsid w:val="00994E8F"/>
    <w:rsid w:val="009952BE"/>
    <w:rsid w:val="009A328B"/>
    <w:rsid w:val="009B205F"/>
    <w:rsid w:val="009E3E16"/>
    <w:rsid w:val="009E5DBF"/>
    <w:rsid w:val="009F5968"/>
    <w:rsid w:val="009F5DAA"/>
    <w:rsid w:val="00A05A96"/>
    <w:rsid w:val="00A54ED4"/>
    <w:rsid w:val="00A604DD"/>
    <w:rsid w:val="00A7474B"/>
    <w:rsid w:val="00A8732D"/>
    <w:rsid w:val="00A97A6D"/>
    <w:rsid w:val="00AA2AF9"/>
    <w:rsid w:val="00AC37AD"/>
    <w:rsid w:val="00AD3651"/>
    <w:rsid w:val="00AE4DCD"/>
    <w:rsid w:val="00AE6895"/>
    <w:rsid w:val="00AF131D"/>
    <w:rsid w:val="00AF210D"/>
    <w:rsid w:val="00B015C2"/>
    <w:rsid w:val="00B1089E"/>
    <w:rsid w:val="00B1515A"/>
    <w:rsid w:val="00B432FA"/>
    <w:rsid w:val="00B500B7"/>
    <w:rsid w:val="00B56C6C"/>
    <w:rsid w:val="00B64DAC"/>
    <w:rsid w:val="00B75DD6"/>
    <w:rsid w:val="00B96380"/>
    <w:rsid w:val="00BC5F77"/>
    <w:rsid w:val="00BC7AE2"/>
    <w:rsid w:val="00BE2CAA"/>
    <w:rsid w:val="00BE335F"/>
    <w:rsid w:val="00BE39D8"/>
    <w:rsid w:val="00BF1F09"/>
    <w:rsid w:val="00C0012E"/>
    <w:rsid w:val="00C02EBD"/>
    <w:rsid w:val="00C07674"/>
    <w:rsid w:val="00C12A70"/>
    <w:rsid w:val="00C32DB5"/>
    <w:rsid w:val="00C356E3"/>
    <w:rsid w:val="00C37B8A"/>
    <w:rsid w:val="00C4027B"/>
    <w:rsid w:val="00C4172D"/>
    <w:rsid w:val="00C42966"/>
    <w:rsid w:val="00C46A7E"/>
    <w:rsid w:val="00C52C45"/>
    <w:rsid w:val="00C568E7"/>
    <w:rsid w:val="00C56E25"/>
    <w:rsid w:val="00C62923"/>
    <w:rsid w:val="00C73C5C"/>
    <w:rsid w:val="00C951CD"/>
    <w:rsid w:val="00CB0ED5"/>
    <w:rsid w:val="00CB5895"/>
    <w:rsid w:val="00CC20B9"/>
    <w:rsid w:val="00CC7658"/>
    <w:rsid w:val="00CF7BD5"/>
    <w:rsid w:val="00D2183C"/>
    <w:rsid w:val="00D230CD"/>
    <w:rsid w:val="00D3577B"/>
    <w:rsid w:val="00D55DFD"/>
    <w:rsid w:val="00D5606A"/>
    <w:rsid w:val="00D710C4"/>
    <w:rsid w:val="00D76228"/>
    <w:rsid w:val="00DA4314"/>
    <w:rsid w:val="00DA6C22"/>
    <w:rsid w:val="00DB7C24"/>
    <w:rsid w:val="00DC148D"/>
    <w:rsid w:val="00DD262B"/>
    <w:rsid w:val="00DD2A0A"/>
    <w:rsid w:val="00DE7517"/>
    <w:rsid w:val="00E00949"/>
    <w:rsid w:val="00E01017"/>
    <w:rsid w:val="00E32035"/>
    <w:rsid w:val="00E406E6"/>
    <w:rsid w:val="00E75E50"/>
    <w:rsid w:val="00E8103D"/>
    <w:rsid w:val="00E84777"/>
    <w:rsid w:val="00E86FCE"/>
    <w:rsid w:val="00E874B9"/>
    <w:rsid w:val="00E875B8"/>
    <w:rsid w:val="00E926DC"/>
    <w:rsid w:val="00E959C0"/>
    <w:rsid w:val="00E976FC"/>
    <w:rsid w:val="00EB3493"/>
    <w:rsid w:val="00EB5580"/>
    <w:rsid w:val="00EC392E"/>
    <w:rsid w:val="00ED6D91"/>
    <w:rsid w:val="00F10639"/>
    <w:rsid w:val="00F14B83"/>
    <w:rsid w:val="00F17827"/>
    <w:rsid w:val="00F22BF9"/>
    <w:rsid w:val="00F243E5"/>
    <w:rsid w:val="00F30B7B"/>
    <w:rsid w:val="00F578EF"/>
    <w:rsid w:val="00F71358"/>
    <w:rsid w:val="00F82771"/>
    <w:rsid w:val="00FA429F"/>
    <w:rsid w:val="00FD3A62"/>
    <w:rsid w:val="00FD4138"/>
    <w:rsid w:val="00FF37B5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282D87"/>
  <w14:defaultImageDpi w14:val="300"/>
  <w15:docId w15:val="{441A08F1-975E-4C45-8CCB-B0B1CA7B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D8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1F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6C"/>
  </w:style>
  <w:style w:type="paragraph" w:styleId="Footer">
    <w:name w:val="footer"/>
    <w:basedOn w:val="Normal"/>
    <w:link w:val="FooterChar"/>
    <w:uiPriority w:val="99"/>
    <w:unhideWhenUsed/>
    <w:rsid w:val="00B56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6C"/>
  </w:style>
  <w:style w:type="paragraph" w:styleId="ListParagraph">
    <w:name w:val="List Paragraph"/>
    <w:basedOn w:val="Normal"/>
    <w:uiPriority w:val="1"/>
    <w:qFormat/>
    <w:rsid w:val="00981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6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E1F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E1F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1FBE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677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Esd-mgrzsvGt1Qjcgqbzsw5eDKVNJazf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nfo\OneDrive\Documents\grants@artswilmingt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sc\Downloads\ArtsCounci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86698-AF85-3B4F-8F36-F9886CAA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ArtsCouncil_letterhead</Template>
  <TotalTime>18</TotalTime>
  <Pages>2</Pages>
  <Words>649</Words>
  <Characters>3988</Characters>
  <Application>Microsoft Office Word</Application>
  <DocSecurity>0</DocSecurity>
  <Lines>102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Luna Creative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Bellamy</dc:creator>
  <cp:keywords/>
  <dc:description/>
  <cp:lastModifiedBy>Rhonda Bellamy</cp:lastModifiedBy>
  <cp:revision>2</cp:revision>
  <cp:lastPrinted>2021-05-03T23:47:00Z</cp:lastPrinted>
  <dcterms:created xsi:type="dcterms:W3CDTF">2024-05-01T12:02:00Z</dcterms:created>
  <dcterms:modified xsi:type="dcterms:W3CDTF">2024-05-01T12:02:00Z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d5eb247eb2bee1303f16310ccd07864e94e245a4379a61f02e95e7dccc093934</vt:lpwstr>
  </property>
</Properties>
</file>